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1F" w:rsidRPr="0072203B" w:rsidRDefault="009F5F91" w:rsidP="0072203B">
      <w:pPr>
        <w:pStyle w:val="NoSpacing"/>
        <w:jc w:val="center"/>
        <w:rPr>
          <w:b/>
        </w:rPr>
      </w:pPr>
      <w:r w:rsidRPr="0072203B">
        <w:rPr>
          <w:b/>
        </w:rPr>
        <w:t>CTD LOG SHEET</w:t>
      </w:r>
    </w:p>
    <w:p w:rsidR="009F5F91" w:rsidRDefault="009F5F91" w:rsidP="0072203B">
      <w:pPr>
        <w:pStyle w:val="NoSpacing"/>
        <w:rPr>
          <w:b/>
        </w:rPr>
      </w:pPr>
    </w:p>
    <w:p w:rsidR="009F5F91" w:rsidRDefault="0072203B" w:rsidP="0072203B">
      <w:pPr>
        <w:pStyle w:val="NoSpacing"/>
        <w:rPr>
          <w:b/>
        </w:rPr>
      </w:pPr>
      <w:r>
        <w:rPr>
          <w:b/>
        </w:rPr>
        <w:t xml:space="preserve">Cruise:  </w:t>
      </w:r>
      <w:r w:rsidR="009F5F91">
        <w:rPr>
          <w:b/>
        </w:rPr>
        <w:t>SAV11-</w:t>
      </w:r>
      <w:r w:rsidR="005B045E">
        <w:rPr>
          <w:b/>
        </w:rPr>
        <w:t>44</w:t>
      </w:r>
      <w:r w:rsidR="009F5F91">
        <w:rPr>
          <w:b/>
        </w:rPr>
        <w:tab/>
      </w:r>
      <w:r w:rsidR="009F5F91">
        <w:rPr>
          <w:b/>
        </w:rPr>
        <w:tab/>
      </w:r>
      <w:r w:rsidR="009F5F91">
        <w:rPr>
          <w:b/>
        </w:rPr>
        <w:tab/>
      </w:r>
      <w:r w:rsidR="00576179">
        <w:rPr>
          <w:b/>
        </w:rPr>
        <w:tab/>
      </w:r>
      <w:r w:rsidR="00576179">
        <w:rPr>
          <w:b/>
        </w:rPr>
        <w:tab/>
      </w:r>
      <w:r w:rsidR="009F5F91" w:rsidRPr="009F5F91">
        <w:rPr>
          <w:b/>
        </w:rPr>
        <w:t>CTD S/N:</w:t>
      </w:r>
      <w:r w:rsidR="009F5F91">
        <w:t xml:space="preserve"> _______</w:t>
      </w:r>
      <w:r w:rsidR="009F5F91">
        <w:rPr>
          <w:b/>
        </w:rPr>
        <w:tab/>
      </w:r>
      <w:r w:rsidR="009F5F91">
        <w:rPr>
          <w:b/>
        </w:rPr>
        <w:tab/>
        <w:t>‘con’ file:___</w:t>
      </w:r>
      <w:r w:rsidR="00B030B2">
        <w:rPr>
          <w:b/>
        </w:rPr>
        <w:t>LB01.con, etc.</w:t>
      </w:r>
      <w:r w:rsidR="009F5F91">
        <w:rPr>
          <w:b/>
        </w:rPr>
        <w:tab/>
        <w:t xml:space="preserve">     Log</w:t>
      </w:r>
      <w:r w:rsidR="00576179">
        <w:rPr>
          <w:b/>
        </w:rPr>
        <w:t xml:space="preserve"> Sheet No. _</w:t>
      </w:r>
      <w:r w:rsidR="005B045E">
        <w:rPr>
          <w:b/>
        </w:rPr>
        <w:t>1</w:t>
      </w:r>
      <w:r w:rsidR="00576179">
        <w:rPr>
          <w:b/>
        </w:rPr>
        <w:t>_</w:t>
      </w:r>
    </w:p>
    <w:p w:rsidR="00576179" w:rsidRDefault="009F5F91" w:rsidP="0072203B">
      <w:pPr>
        <w:pStyle w:val="NoSpacing"/>
        <w:rPr>
          <w:b/>
        </w:rPr>
      </w:pPr>
      <w:r>
        <w:rPr>
          <w:b/>
        </w:rPr>
        <w:t>Cruise dates:  __</w:t>
      </w:r>
      <w:r w:rsidR="005B045E">
        <w:t>13-16 December, 2011</w:t>
      </w:r>
      <w:r>
        <w:rPr>
          <w:b/>
        </w:rPr>
        <w:t>__</w:t>
      </w:r>
      <w:r w:rsidR="00576179">
        <w:rPr>
          <w:b/>
        </w:rPr>
        <w:t xml:space="preserve">   </w:t>
      </w:r>
    </w:p>
    <w:p w:rsidR="009F5F91" w:rsidRDefault="009F5F91" w:rsidP="0072203B">
      <w:pPr>
        <w:pStyle w:val="NoSpacing"/>
        <w:rPr>
          <w:b/>
        </w:rPr>
      </w:pPr>
    </w:p>
    <w:tbl>
      <w:tblPr>
        <w:tblStyle w:val="TableGrid"/>
        <w:tblW w:w="13698" w:type="dxa"/>
        <w:tblLook w:val="01E0"/>
      </w:tblPr>
      <w:tblGrid>
        <w:gridCol w:w="1370"/>
        <w:gridCol w:w="897"/>
        <w:gridCol w:w="1172"/>
        <w:gridCol w:w="856"/>
        <w:gridCol w:w="809"/>
        <w:gridCol w:w="1142"/>
        <w:gridCol w:w="1035"/>
        <w:gridCol w:w="263"/>
        <w:gridCol w:w="805"/>
        <w:gridCol w:w="876"/>
        <w:gridCol w:w="935"/>
        <w:gridCol w:w="801"/>
        <w:gridCol w:w="263"/>
        <w:gridCol w:w="2474"/>
      </w:tblGrid>
      <w:tr w:rsidR="005B045E" w:rsidTr="00DA5D35"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203B" w:rsidRPr="009F5F91" w:rsidRDefault="005A7273" w:rsidP="0072203B">
            <w:pPr>
              <w:pStyle w:val="NoSpacing"/>
              <w:jc w:val="center"/>
            </w:pPr>
            <w:r>
              <w:t xml:space="preserve">CTD </w:t>
            </w:r>
            <w:r w:rsidR="0072203B" w:rsidRPr="009F5F91">
              <w:t>Cast</w:t>
            </w:r>
          </w:p>
          <w:p w:rsidR="0072203B" w:rsidRPr="005A7273" w:rsidRDefault="0072203B" w:rsidP="0072203B">
            <w:pPr>
              <w:pStyle w:val="NoSpacing"/>
              <w:jc w:val="center"/>
            </w:pPr>
            <w:r w:rsidRPr="005A7273">
              <w:t>filename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Pr="009F5F91" w:rsidRDefault="0072203B" w:rsidP="0072203B">
            <w:pPr>
              <w:pStyle w:val="NoSpacing"/>
              <w:jc w:val="center"/>
            </w:pPr>
          </w:p>
          <w:p w:rsidR="0072203B" w:rsidRPr="009F5F91" w:rsidRDefault="0072203B" w:rsidP="0072203B">
            <w:pPr>
              <w:pStyle w:val="NoSpacing"/>
              <w:jc w:val="center"/>
            </w:pPr>
            <w:r w:rsidRPr="009F5F91">
              <w:t>Station</w:t>
            </w:r>
          </w:p>
        </w:tc>
        <w:tc>
          <w:tcPr>
            <w:tcW w:w="1172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Default="0072203B" w:rsidP="0072203B">
            <w:pPr>
              <w:pStyle w:val="NoSpacing"/>
              <w:jc w:val="center"/>
            </w:pPr>
            <w:r>
              <w:t>Date</w:t>
            </w:r>
          </w:p>
          <w:p w:rsidR="005B045E" w:rsidRPr="005B045E" w:rsidRDefault="005B045E" w:rsidP="0072203B">
            <w:pPr>
              <w:pStyle w:val="NoSpacing"/>
              <w:jc w:val="center"/>
              <w:rPr>
                <w:sz w:val="20"/>
                <w:szCs w:val="20"/>
              </w:rPr>
            </w:pPr>
            <w:r w:rsidRPr="005B045E">
              <w:rPr>
                <w:sz w:val="20"/>
                <w:szCs w:val="20"/>
              </w:rPr>
              <w:t>(</w:t>
            </w:r>
            <w:proofErr w:type="spellStart"/>
            <w:r w:rsidRPr="005B045E">
              <w:rPr>
                <w:sz w:val="20"/>
                <w:szCs w:val="20"/>
              </w:rPr>
              <w:t>dd</w:t>
            </w:r>
            <w:proofErr w:type="spellEnd"/>
            <w:r w:rsidRPr="005B045E">
              <w:rPr>
                <w:sz w:val="20"/>
                <w:szCs w:val="20"/>
              </w:rPr>
              <w:t>/mm/</w:t>
            </w:r>
            <w:proofErr w:type="spellStart"/>
            <w:r w:rsidRPr="005B045E">
              <w:rPr>
                <w:sz w:val="20"/>
                <w:szCs w:val="20"/>
              </w:rPr>
              <w:t>yy</w:t>
            </w:r>
            <w:proofErr w:type="spellEnd"/>
            <w:r w:rsidRPr="005B045E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Time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GMT/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(EST)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Sta</w:t>
            </w:r>
            <w:proofErr w:type="spellEnd"/>
          </w:p>
          <w:p w:rsidR="0072203B" w:rsidRDefault="0072203B" w:rsidP="0072203B">
            <w:pPr>
              <w:pStyle w:val="NoSpacing"/>
              <w:jc w:val="center"/>
            </w:pPr>
            <w:r>
              <w:t>Depth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(m)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LAT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°N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LON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°W</w:t>
            </w:r>
          </w:p>
        </w:tc>
        <w:tc>
          <w:tcPr>
            <w:tcW w:w="265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Pr="009F5F91" w:rsidRDefault="0072203B" w:rsidP="0072203B">
            <w:pPr>
              <w:pStyle w:val="NoSpacing"/>
              <w:jc w:val="center"/>
            </w:pP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Temp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(°C)</w:t>
            </w: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Sal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(PSU)</w:t>
            </w:r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Chl</w:t>
            </w:r>
            <w:proofErr w:type="spellEnd"/>
            <w:r>
              <w:t xml:space="preserve"> </w:t>
            </w:r>
            <w:proofErr w:type="spellStart"/>
            <w:r>
              <w:t>Flr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cdom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265" w:type="dxa"/>
            <w:tcBorders>
              <w:top w:val="double" w:sz="4" w:space="0" w:color="auto"/>
              <w:bottom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</w:p>
        </w:tc>
        <w:tc>
          <w:tcPr>
            <w:tcW w:w="25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Default="0072203B" w:rsidP="0072203B">
            <w:pPr>
              <w:pStyle w:val="NoSpacing"/>
              <w:jc w:val="center"/>
            </w:pPr>
            <w:r>
              <w:t>Comments</w:t>
            </w:r>
          </w:p>
        </w:tc>
      </w:tr>
      <w:tr w:rsidR="005B045E" w:rsidTr="00DA5D35">
        <w:trPr>
          <w:trHeight w:val="720"/>
        </w:trPr>
        <w:tc>
          <w:tcPr>
            <w:tcW w:w="1385" w:type="dxa"/>
            <w:tcBorders>
              <w:top w:val="double" w:sz="4" w:space="0" w:color="auto"/>
            </w:tcBorders>
          </w:tcPr>
          <w:p w:rsidR="0072203B" w:rsidRPr="005B045E" w:rsidRDefault="005B045E" w:rsidP="005B045E">
            <w:pPr>
              <w:pStyle w:val="NoSpacing"/>
              <w:jc w:val="center"/>
            </w:pPr>
            <w:r>
              <w:t>LB01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:rsidR="0072203B" w:rsidRPr="005B045E" w:rsidRDefault="005B045E" w:rsidP="005B045E">
            <w:pPr>
              <w:pStyle w:val="NoSpacing"/>
              <w:jc w:val="center"/>
            </w:pPr>
            <w:r>
              <w:t>LB01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5B045E" w:rsidRPr="005B045E" w:rsidRDefault="005B045E" w:rsidP="005B045E">
            <w:pPr>
              <w:pStyle w:val="NoSpacing"/>
              <w:jc w:val="center"/>
            </w:pPr>
            <w:r>
              <w:t>12/14/11</w:t>
            </w:r>
          </w:p>
        </w:tc>
        <w:tc>
          <w:tcPr>
            <w:tcW w:w="816" w:type="dxa"/>
            <w:tcBorders>
              <w:top w:val="double" w:sz="4" w:space="0" w:color="auto"/>
            </w:tcBorders>
          </w:tcPr>
          <w:p w:rsidR="0072203B" w:rsidRDefault="005B045E" w:rsidP="005B045E">
            <w:pPr>
              <w:pStyle w:val="NoSpacing"/>
              <w:jc w:val="center"/>
            </w:pPr>
            <w:r>
              <w:t>1552</w:t>
            </w:r>
          </w:p>
          <w:p w:rsidR="0072203B" w:rsidRPr="005B045E" w:rsidRDefault="005B045E" w:rsidP="005B045E">
            <w:pPr>
              <w:pStyle w:val="NoSpacing"/>
              <w:jc w:val="center"/>
            </w:pPr>
            <w:r>
              <w:t>(1052)</w:t>
            </w:r>
          </w:p>
        </w:tc>
        <w:tc>
          <w:tcPr>
            <w:tcW w:w="809" w:type="dxa"/>
            <w:tcBorders>
              <w:top w:val="double" w:sz="4" w:space="0" w:color="auto"/>
            </w:tcBorders>
          </w:tcPr>
          <w:p w:rsidR="0072203B" w:rsidRPr="005B045E" w:rsidRDefault="005B045E" w:rsidP="005B045E">
            <w:pPr>
              <w:pStyle w:val="NoSpacing"/>
              <w:jc w:val="center"/>
            </w:pPr>
            <w:r>
              <w:t>173</w:t>
            </w:r>
          </w:p>
        </w:tc>
        <w:tc>
          <w:tcPr>
            <w:tcW w:w="1149" w:type="dxa"/>
            <w:tcBorders>
              <w:top w:val="double" w:sz="4" w:space="0" w:color="auto"/>
            </w:tcBorders>
          </w:tcPr>
          <w:p w:rsidR="005B045E" w:rsidRDefault="005B045E" w:rsidP="005B045E">
            <w:pPr>
              <w:pStyle w:val="NoSpacing"/>
              <w:jc w:val="center"/>
            </w:pPr>
            <w:r>
              <w:t>32</w:t>
            </w:r>
          </w:p>
          <w:p w:rsidR="0072203B" w:rsidRPr="005B045E" w:rsidRDefault="005B045E" w:rsidP="005B045E">
            <w:pPr>
              <w:pStyle w:val="NoSpacing"/>
              <w:jc w:val="center"/>
            </w:pPr>
            <w:r>
              <w:t>51.0443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72203B" w:rsidRDefault="005B045E" w:rsidP="005B045E">
            <w:pPr>
              <w:pStyle w:val="NoSpacing"/>
              <w:jc w:val="center"/>
            </w:pPr>
            <w:r>
              <w:t>78</w:t>
            </w:r>
          </w:p>
          <w:p w:rsidR="005B045E" w:rsidRPr="005B045E" w:rsidRDefault="005B045E" w:rsidP="005B045E">
            <w:pPr>
              <w:pStyle w:val="NoSpacing"/>
              <w:jc w:val="center"/>
            </w:pPr>
            <w:r>
              <w:t>01.179</w:t>
            </w:r>
          </w:p>
        </w:tc>
        <w:tc>
          <w:tcPr>
            <w:tcW w:w="265" w:type="dxa"/>
            <w:tcBorders>
              <w:top w:val="double" w:sz="4" w:space="0" w:color="auto"/>
            </w:tcBorders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  <w:tcBorders>
              <w:top w:val="double" w:sz="4" w:space="0" w:color="auto"/>
            </w:tcBorders>
          </w:tcPr>
          <w:p w:rsidR="0072203B" w:rsidRPr="005B045E" w:rsidRDefault="005B045E" w:rsidP="005B045E">
            <w:pPr>
              <w:pStyle w:val="NoSpacing"/>
              <w:jc w:val="center"/>
            </w:pPr>
            <w:r>
              <w:t>25.44</w:t>
            </w: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35.992</w:t>
            </w: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0.105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0.100</w:t>
            </w:r>
          </w:p>
        </w:tc>
        <w:tc>
          <w:tcPr>
            <w:tcW w:w="265" w:type="dxa"/>
            <w:tcBorders>
              <w:top w:val="double" w:sz="4" w:space="0" w:color="auto"/>
            </w:tcBorders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  <w:tcBorders>
              <w:top w:val="double" w:sz="4" w:space="0" w:color="auto"/>
            </w:tcBorders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Near target mooring site; cast to 100 m</w:t>
            </w: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LB02</w:t>
            </w:r>
          </w:p>
        </w:tc>
        <w:tc>
          <w:tcPr>
            <w:tcW w:w="89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LB02</w:t>
            </w:r>
          </w:p>
        </w:tc>
        <w:tc>
          <w:tcPr>
            <w:tcW w:w="1172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12/14/11</w:t>
            </w:r>
          </w:p>
        </w:tc>
        <w:tc>
          <w:tcPr>
            <w:tcW w:w="81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1640</w:t>
            </w:r>
          </w:p>
        </w:tc>
        <w:tc>
          <w:tcPr>
            <w:tcW w:w="809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72203B" w:rsidRDefault="00721FEC" w:rsidP="005B045E">
            <w:pPr>
              <w:pStyle w:val="NoSpacing"/>
              <w:jc w:val="center"/>
            </w:pPr>
            <w:r>
              <w:t>32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50.945</w:t>
            </w:r>
          </w:p>
        </w:tc>
        <w:tc>
          <w:tcPr>
            <w:tcW w:w="1037" w:type="dxa"/>
          </w:tcPr>
          <w:p w:rsidR="0072203B" w:rsidRDefault="00721FEC" w:rsidP="005B045E">
            <w:pPr>
              <w:pStyle w:val="NoSpacing"/>
              <w:jc w:val="center"/>
            </w:pPr>
            <w:r>
              <w:t>78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01.910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25.44</w:t>
            </w:r>
          </w:p>
        </w:tc>
        <w:tc>
          <w:tcPr>
            <w:tcW w:w="81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35.990</w:t>
            </w:r>
          </w:p>
        </w:tc>
        <w:tc>
          <w:tcPr>
            <w:tcW w:w="944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0.105</w:t>
            </w:r>
          </w:p>
        </w:tc>
        <w:tc>
          <w:tcPr>
            <w:tcW w:w="803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1FEC" w:rsidP="00721FEC">
            <w:pPr>
              <w:pStyle w:val="NoSpacing"/>
              <w:jc w:val="center"/>
            </w:pPr>
            <w:r>
              <w:t>Cast to 20 m prior to ECO FLNTU inter-calibration “hang”</w:t>
            </w: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LB03</w:t>
            </w:r>
          </w:p>
        </w:tc>
        <w:tc>
          <w:tcPr>
            <w:tcW w:w="89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LB03</w:t>
            </w:r>
          </w:p>
        </w:tc>
        <w:tc>
          <w:tcPr>
            <w:tcW w:w="1172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12/14/11</w:t>
            </w:r>
          </w:p>
        </w:tc>
        <w:tc>
          <w:tcPr>
            <w:tcW w:w="81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1935</w:t>
            </w:r>
          </w:p>
        </w:tc>
        <w:tc>
          <w:tcPr>
            <w:tcW w:w="809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72203B" w:rsidRDefault="00721FEC" w:rsidP="005B045E">
            <w:pPr>
              <w:pStyle w:val="NoSpacing"/>
              <w:jc w:val="center"/>
            </w:pPr>
            <w:r>
              <w:t>32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51.181</w:t>
            </w:r>
          </w:p>
        </w:tc>
        <w:tc>
          <w:tcPr>
            <w:tcW w:w="1037" w:type="dxa"/>
          </w:tcPr>
          <w:p w:rsidR="0072203B" w:rsidRDefault="00721FEC" w:rsidP="005B045E">
            <w:pPr>
              <w:pStyle w:val="NoSpacing"/>
              <w:jc w:val="center"/>
            </w:pPr>
            <w:r>
              <w:t>78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00.573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25.51</w:t>
            </w:r>
          </w:p>
        </w:tc>
        <w:tc>
          <w:tcPr>
            <w:tcW w:w="81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36.007</w:t>
            </w:r>
          </w:p>
        </w:tc>
        <w:tc>
          <w:tcPr>
            <w:tcW w:w="944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0.112</w:t>
            </w:r>
          </w:p>
        </w:tc>
        <w:tc>
          <w:tcPr>
            <w:tcW w:w="803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Default="00721FEC" w:rsidP="005B045E">
            <w:pPr>
              <w:pStyle w:val="NoSpacing"/>
              <w:jc w:val="center"/>
            </w:pPr>
            <w:r>
              <w:t>Cast to 165 m</w:t>
            </w:r>
          </w:p>
          <w:p w:rsidR="00721FEC" w:rsidRDefault="00721FEC" w:rsidP="005B045E">
            <w:pPr>
              <w:pStyle w:val="NoSpacing"/>
              <w:jc w:val="center"/>
            </w:pPr>
            <w:r>
              <w:t>Bottles fired at: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165, 121, 90, 60, 30 m</w:t>
            </w: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72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4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03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944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Tow1</w:t>
            </w:r>
          </w:p>
        </w:tc>
        <w:tc>
          <w:tcPr>
            <w:tcW w:w="89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Tow 1</w:t>
            </w:r>
          </w:p>
        </w:tc>
        <w:tc>
          <w:tcPr>
            <w:tcW w:w="1172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12/15/11</w:t>
            </w:r>
          </w:p>
        </w:tc>
        <w:tc>
          <w:tcPr>
            <w:tcW w:w="81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1530</w:t>
            </w:r>
          </w:p>
        </w:tc>
        <w:tc>
          <w:tcPr>
            <w:tcW w:w="809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48.7</w:t>
            </w:r>
          </w:p>
        </w:tc>
        <w:tc>
          <w:tcPr>
            <w:tcW w:w="1149" w:type="dxa"/>
          </w:tcPr>
          <w:p w:rsidR="0072203B" w:rsidRDefault="00721FEC" w:rsidP="005B045E">
            <w:pPr>
              <w:pStyle w:val="NoSpacing"/>
              <w:jc w:val="center"/>
            </w:pPr>
            <w:r>
              <w:t>31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05.0115</w:t>
            </w:r>
          </w:p>
        </w:tc>
        <w:tc>
          <w:tcPr>
            <w:tcW w:w="1037" w:type="dxa"/>
          </w:tcPr>
          <w:p w:rsidR="0072203B" w:rsidRDefault="00721FEC" w:rsidP="005B045E">
            <w:pPr>
              <w:pStyle w:val="NoSpacing"/>
              <w:jc w:val="center"/>
            </w:pPr>
            <w:r>
              <w:t>80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04.6568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24.37</w:t>
            </w:r>
          </w:p>
        </w:tc>
        <w:tc>
          <w:tcPr>
            <w:tcW w:w="81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35.856</w:t>
            </w:r>
          </w:p>
        </w:tc>
        <w:tc>
          <w:tcPr>
            <w:tcW w:w="944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0.150</w:t>
            </w:r>
          </w:p>
        </w:tc>
        <w:tc>
          <w:tcPr>
            <w:tcW w:w="803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Default="00721FEC" w:rsidP="005B045E">
            <w:pPr>
              <w:pStyle w:val="NoSpacing"/>
              <w:jc w:val="center"/>
            </w:pPr>
            <w:r>
              <w:t>Net tow site; bottles at: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47, 38, 15 m</w:t>
            </w: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1FEC" w:rsidP="00721FEC">
            <w:pPr>
              <w:pStyle w:val="NoSpacing"/>
              <w:jc w:val="center"/>
            </w:pPr>
            <w:r>
              <w:br/>
            </w:r>
          </w:p>
        </w:tc>
        <w:tc>
          <w:tcPr>
            <w:tcW w:w="89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Tow 2</w:t>
            </w:r>
          </w:p>
        </w:tc>
        <w:tc>
          <w:tcPr>
            <w:tcW w:w="1172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12/15/11</w:t>
            </w:r>
          </w:p>
        </w:tc>
        <w:tc>
          <w:tcPr>
            <w:tcW w:w="81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1725</w:t>
            </w:r>
          </w:p>
        </w:tc>
        <w:tc>
          <w:tcPr>
            <w:tcW w:w="809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37.6</w:t>
            </w:r>
          </w:p>
        </w:tc>
        <w:tc>
          <w:tcPr>
            <w:tcW w:w="1149" w:type="dxa"/>
          </w:tcPr>
          <w:p w:rsidR="0072203B" w:rsidRDefault="00721FEC" w:rsidP="005B045E">
            <w:pPr>
              <w:pStyle w:val="NoSpacing"/>
              <w:jc w:val="center"/>
            </w:pPr>
            <w:r>
              <w:t xml:space="preserve">31 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04.0028</w:t>
            </w:r>
          </w:p>
        </w:tc>
        <w:tc>
          <w:tcPr>
            <w:tcW w:w="1037" w:type="dxa"/>
          </w:tcPr>
          <w:p w:rsidR="0072203B" w:rsidRDefault="00721FEC" w:rsidP="005B045E">
            <w:pPr>
              <w:pStyle w:val="NoSpacing"/>
              <w:jc w:val="center"/>
            </w:pPr>
            <w:r>
              <w:t>80</w:t>
            </w:r>
          </w:p>
          <w:p w:rsidR="00721FEC" w:rsidRPr="005B045E" w:rsidRDefault="00721FEC" w:rsidP="005B045E">
            <w:pPr>
              <w:pStyle w:val="NoSpacing"/>
              <w:jc w:val="center"/>
            </w:pPr>
            <w:r>
              <w:t>17.878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23.52</w:t>
            </w:r>
          </w:p>
        </w:tc>
        <w:tc>
          <w:tcPr>
            <w:tcW w:w="817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35.867</w:t>
            </w:r>
          </w:p>
        </w:tc>
        <w:tc>
          <w:tcPr>
            <w:tcW w:w="944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0.116</w:t>
            </w:r>
          </w:p>
        </w:tc>
        <w:tc>
          <w:tcPr>
            <w:tcW w:w="803" w:type="dxa"/>
          </w:tcPr>
          <w:p w:rsidR="0072203B" w:rsidRPr="005B045E" w:rsidRDefault="00721FEC" w:rsidP="005B045E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Default="00721FEC" w:rsidP="005B045E">
            <w:pPr>
              <w:pStyle w:val="NoSpacing"/>
              <w:jc w:val="center"/>
              <w:rPr>
                <w:i/>
              </w:rPr>
            </w:pPr>
            <w:r w:rsidRPr="00DA5D35">
              <w:rPr>
                <w:i/>
              </w:rPr>
              <w:t>Net tow only</w:t>
            </w:r>
          </w:p>
          <w:p w:rsidR="00B030B2" w:rsidRPr="00DA5D35" w:rsidRDefault="00B030B2" w:rsidP="005B045E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NO CTD cast</w:t>
            </w: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72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4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03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944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72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4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03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944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72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4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03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944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</w:tr>
      <w:tr w:rsidR="005B045E" w:rsidTr="005B045E">
        <w:trPr>
          <w:trHeight w:val="720"/>
        </w:trPr>
        <w:tc>
          <w:tcPr>
            <w:tcW w:w="138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72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149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103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944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80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65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  <w:tc>
          <w:tcPr>
            <w:tcW w:w="2533" w:type="dxa"/>
          </w:tcPr>
          <w:p w:rsidR="0072203B" w:rsidRPr="005B045E" w:rsidRDefault="0072203B" w:rsidP="005B045E">
            <w:pPr>
              <w:pStyle w:val="NoSpacing"/>
              <w:jc w:val="center"/>
            </w:pPr>
          </w:p>
        </w:tc>
      </w:tr>
    </w:tbl>
    <w:p w:rsidR="00576179" w:rsidRPr="00576179" w:rsidRDefault="00576179" w:rsidP="0072203B">
      <w:pPr>
        <w:pStyle w:val="NoSpacing"/>
      </w:pPr>
    </w:p>
    <w:sectPr w:rsidR="00576179" w:rsidRPr="00576179" w:rsidSect="005A727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6D"/>
    <w:rsid w:val="00352320"/>
    <w:rsid w:val="00396C81"/>
    <w:rsid w:val="003F546D"/>
    <w:rsid w:val="005204FA"/>
    <w:rsid w:val="00576179"/>
    <w:rsid w:val="005A7273"/>
    <w:rsid w:val="005B045E"/>
    <w:rsid w:val="00721FEC"/>
    <w:rsid w:val="0072203B"/>
    <w:rsid w:val="0077041F"/>
    <w:rsid w:val="009F5F91"/>
    <w:rsid w:val="00B030B2"/>
    <w:rsid w:val="00C24FB0"/>
    <w:rsid w:val="00DA5D35"/>
    <w:rsid w:val="00F1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20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LOG SHEET --Flow Cytometry, Chlorophyll, CDOM</vt:lpstr>
    </vt:vector>
  </TitlesOfParts>
  <Company>SkIO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LOG SHEET --Flow Cytometry, Chlorophyll, CDOM</dc:title>
  <dc:subject/>
  <dc:creator>Jim Nelson</dc:creator>
  <cp:keywords/>
  <dc:description/>
  <cp:lastModifiedBy>Jim Nelson</cp:lastModifiedBy>
  <cp:revision>2</cp:revision>
  <cp:lastPrinted>2011-12-19T19:43:00Z</cp:lastPrinted>
  <dcterms:created xsi:type="dcterms:W3CDTF">2011-12-20T15:16:00Z</dcterms:created>
  <dcterms:modified xsi:type="dcterms:W3CDTF">2011-12-20T15:16:00Z</dcterms:modified>
</cp:coreProperties>
</file>